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280" w:after="0"/>
        <w:jc w:val="center"/>
        <w:rPr>
          <w:sz w:val="28"/>
          <w:sz w:val="28"/>
          <w:szCs w:val="28"/>
          <w:color w:val="00000A"/>
          <w:lang w:val="es-ES"/>
        </w:rPr>
      </w:pPr>
      <w:r>
        <w:rPr>
          <w:color w:val="00000A"/>
          <w:sz w:val="28"/>
          <w:szCs w:val="28"/>
          <w:lang w:val="es-ES"/>
        </w:rPr>
        <w:t>Departamento Ecología, Genética y Evolución</w:t>
      </w:r>
      <w:r/>
    </w:p>
    <w:p>
      <w:pPr>
        <w:pStyle w:val="Western"/>
        <w:spacing w:lineRule="auto" w:line="240"/>
        <w:jc w:val="center"/>
        <w:rPr>
          <w:b w:val="false"/>
          <w:b w:val="false"/>
          <w:bCs w:val="false"/>
          <w:color w:val="00000A"/>
          <w:lang w:val="es-ES"/>
        </w:rPr>
      </w:pPr>
      <w:r>
        <w:rPr>
          <w:color w:val="00000A"/>
          <w:sz w:val="28"/>
          <w:szCs w:val="28"/>
          <w:lang w:val="es-ES"/>
        </w:rPr>
        <w:t>Reglamento de uso del ultra-congelador</w:t>
      </w:r>
      <w:r/>
    </w:p>
    <w:p>
      <w:pPr>
        <w:pStyle w:val="Western"/>
        <w:spacing w:lineRule="auto" w:line="240"/>
        <w:jc w:val="both"/>
        <w:rPr>
          <w:b w:val="false"/>
          <w:b w:val="false"/>
          <w:bCs w:val="false"/>
          <w:color w:val="00000A"/>
          <w:lang w:val="es-ES"/>
        </w:rPr>
      </w:pPr>
      <w:r>
        <w:rPr>
          <w:b w:val="false"/>
          <w:bCs w:val="false"/>
          <w:color w:val="00000A"/>
          <w:lang w:val="es-ES"/>
        </w:rPr>
        <w:t>Se redacta el siguiente Reglamen</w:t>
      </w:r>
      <w:bookmarkStart w:id="0" w:name="_GoBack"/>
      <w:bookmarkEnd w:id="0"/>
      <w:r>
        <w:rPr>
          <w:b w:val="false"/>
          <w:bCs w:val="false"/>
          <w:color w:val="00000A"/>
          <w:lang w:val="es-ES"/>
        </w:rPr>
        <w:t>to de uso del ultra-congelador (temperatura de -80ºC) localizado en el lab. 103, 4to piso del Pabellón II, con el fin de organizar y optimizar el uso del mismo, siguiendo las normativas del Servicio de Higiene y Seguridad de la FCEN.</w:t>
      </w:r>
      <w:r/>
    </w:p>
    <w:p>
      <w:pPr>
        <w:pStyle w:val="Western"/>
        <w:spacing w:lineRule="auto" w:line="360"/>
        <w:jc w:val="both"/>
        <w:rPr>
          <w:b w:val="false"/>
          <w:b w:val="false"/>
          <w:bCs w:val="false"/>
          <w:color w:val="00000A"/>
          <w:lang w:val="es-ES"/>
        </w:rPr>
      </w:pPr>
      <w:r>
        <w:rPr>
          <w:color w:val="00000A"/>
          <w:u w:val="single"/>
          <w:lang w:val="es-ES"/>
        </w:rPr>
        <w:t xml:space="preserve">Descripción general </w:t>
      </w:r>
      <w:r/>
    </w:p>
    <w:p>
      <w:pPr>
        <w:pStyle w:val="Western"/>
        <w:spacing w:lineRule="auto" w:line="360"/>
        <w:jc w:val="both"/>
        <w:rPr>
          <w:b w:val="false"/>
          <w:b w:val="false"/>
          <w:bCs w:val="false"/>
          <w:color w:val="00000A"/>
          <w:lang w:val="es-ES"/>
        </w:rPr>
      </w:pPr>
      <w:r>
        <w:rPr>
          <w:b w:val="false"/>
          <w:bCs w:val="false"/>
          <w:color w:val="00000A"/>
          <w:lang w:val="es-ES"/>
        </w:rPr>
        <w:t>El ultra-congelador fue adquirido y reparado con fondos del DEGE y el IEGEBA, por lo tanto todos grupos del departamento/instituto tienen derecho a utilizar este equipo. El equipo será administrado por el ministro designado por el CoDep el que supervisará la distribución del espacio y el uso del mismo.</w:t>
      </w:r>
      <w:r/>
    </w:p>
    <w:p>
      <w:pPr>
        <w:pStyle w:val="Western"/>
        <w:spacing w:lineRule="auto" w:line="360"/>
        <w:jc w:val="both"/>
        <w:rPr>
          <w:u w:val="single"/>
          <w:bCs w:val="false"/>
          <w:color w:val="00000A"/>
          <w:lang w:val="es-ES"/>
        </w:rPr>
      </w:pPr>
      <w:r>
        <w:rPr>
          <w:bCs w:val="false"/>
          <w:color w:val="00000A"/>
          <w:u w:val="single"/>
          <w:lang w:val="es-ES"/>
        </w:rPr>
        <w:t>De la apertura de la puerta</w:t>
      </w:r>
      <w:r/>
    </w:p>
    <w:p>
      <w:pPr>
        <w:pStyle w:val="Western"/>
        <w:spacing w:lineRule="auto" w:line="360"/>
        <w:jc w:val="both"/>
        <w:rPr>
          <w:b w:val="false"/>
          <w:b w:val="false"/>
          <w:bCs w:val="false"/>
          <w:color w:val="00000A"/>
          <w:lang w:val="es-ES"/>
        </w:rPr>
      </w:pPr>
      <w:r>
        <w:rPr>
          <w:b w:val="false"/>
          <w:bCs w:val="false"/>
          <w:color w:val="00000A"/>
          <w:lang w:val="es-ES"/>
        </w:rPr>
        <w:t xml:space="preserve">Se procurará que el freezer se abra a lo sumo 2 veces por día. Cuando un usuario requiera acceder al freezer se deberá enviar un correo con 20 minutos de antelación al mail </w:t>
      </w:r>
      <w:r>
        <w:rPr>
          <w:b w:val="false"/>
          <w:bCs w:val="false"/>
          <w:color w:val="00000A"/>
          <w:u w:val="single"/>
          <w:lang w:val="es-ES"/>
        </w:rPr>
        <w:t>freezer@ege.fcen.uba.ar</w:t>
      </w:r>
      <w:r>
        <w:rPr>
          <w:b w:val="false"/>
          <w:bCs w:val="false"/>
          <w:color w:val="00000A"/>
          <w:lang w:val="es-ES"/>
        </w:rPr>
        <w:t>. Este mail será revisado por diferentes personas que envarán un mail a todo el departamento para que cualquiera que necesite pueda acceder. A pesar de que se tendrá acceso al Ultrafreezer solo 2 veces al día (a la mañana y a la tarde), cuando algún usuario requiera de un uso más frecuente por un breve período de tiempo (días) se podrá combinar con los responsables para poder realizar las tareas (Luis Grimalt, Claudio Sotelo o el ministro designado).</w:t>
      </w:r>
      <w:r/>
    </w:p>
    <w:p>
      <w:pPr>
        <w:pStyle w:val="Western"/>
        <w:spacing w:lineRule="auto" w:line="360"/>
        <w:jc w:val="both"/>
        <w:rPr>
          <w:color w:val="00000A"/>
          <w:lang w:val="es-ES"/>
        </w:rPr>
      </w:pPr>
      <w:r>
        <w:rPr>
          <w:color w:val="00000A"/>
          <w:u w:val="single"/>
          <w:lang w:val="es-ES"/>
        </w:rPr>
        <w:t>Almacenamiento</w:t>
      </w:r>
      <w:r/>
    </w:p>
    <w:p>
      <w:pPr>
        <w:pStyle w:val="Western"/>
        <w:spacing w:lineRule="auto" w:line="360"/>
        <w:jc w:val="both"/>
        <w:rPr>
          <w:b w:val="false"/>
          <w:b w:val="false"/>
          <w:bCs w:val="false"/>
          <w:color w:val="00000A"/>
          <w:lang w:val="es-ES"/>
        </w:rPr>
      </w:pPr>
      <w:r>
        <w:rPr>
          <w:b w:val="false"/>
          <w:bCs w:val="false"/>
          <w:color w:val="00000A"/>
          <w:lang w:val="es-ES"/>
        </w:rPr>
        <w:t xml:space="preserve">El ultra-congelador dispone de recipientes especiales para la conservación del material. Estos recipientes son dos por estante y está prohibido conservar material por fuera de estos recipientes. Cada vez que se guarde material en el Ultrafreezer este deberá estar debidamente rotulado (etiqueta autoadhesiva escrita con lápiz) y en un recipiente adecuado (bolsa tipo ziploc o caja). Además, el responsable de las muestras deberá llenar el formulario anexo para poder tener un seguimiento del material guardado. Queda prohibido conservar material que no esté permitido por las disposiciones de Higiene y Seguridad Ambiental de la FCEN. </w:t>
      </w:r>
      <w:r/>
    </w:p>
    <w:p>
      <w:pPr>
        <w:pStyle w:val="Western"/>
        <w:spacing w:lineRule="auto" w:line="360"/>
        <w:jc w:val="both"/>
        <w:rPr>
          <w:color w:val="00000A"/>
          <w:lang w:val="es-ES"/>
        </w:rPr>
      </w:pPr>
      <w:r>
        <w:rPr>
          <w:color w:val="00000A"/>
          <w:u w:val="single"/>
          <w:lang w:val="es-ES"/>
        </w:rPr>
        <w:t>Distribución del espacio para almacenamiento</w:t>
      </w:r>
      <w:r/>
    </w:p>
    <w:p>
      <w:pPr>
        <w:pStyle w:val="Western"/>
        <w:spacing w:lineRule="auto" w:line="360"/>
        <w:jc w:val="both"/>
        <w:rPr>
          <w:b w:val="false"/>
          <w:b w:val="false"/>
          <w:bCs w:val="false"/>
          <w:color w:val="00000A"/>
          <w:lang w:val="es-ES"/>
        </w:rPr>
      </w:pPr>
      <w:r>
        <w:rPr>
          <w:b w:val="false"/>
          <w:bCs w:val="false"/>
          <w:color w:val="00000A"/>
          <w:lang w:val="es-ES"/>
        </w:rPr>
        <w:t>El Ultrafreezer cuenta con 8 cajones para colocar muestras. Su ocupación se realizará en función de la demanda de manera irrestricta mientras no sea limitante. En caso de que sea una limitante se priorizará que todos los que lo requieran puedan almacenar material y también aquellos casos en los cuales el almacenaje sea por cortas duraciones de tiempo para poder brindar un mejor servicio.</w:t>
      </w:r>
      <w:r/>
    </w:p>
    <w:p>
      <w:pPr>
        <w:pStyle w:val="Normal"/>
        <w:spacing w:lineRule="auto" w:line="360"/>
        <w:jc w:val="both"/>
        <w:rPr>
          <w:rFonts w:ascii="Times New Roman" w:hAnsi="Times New Roman" w:cs="Times New Roman"/>
          <w:lang w:val="es-ES"/>
        </w:rPr>
      </w:pPr>
      <w:r>
        <w:rPr>
          <w:rFonts w:cs="Times New Roman" w:ascii="Times New Roman" w:hAnsi="Times New Roman"/>
          <w:lang w:val="es-ES"/>
        </w:rPr>
      </w:r>
      <w:r/>
    </w:p>
    <w:p>
      <w:pPr>
        <w:pStyle w:val="Normal"/>
        <w:spacing w:lineRule="auto" w:line="360"/>
        <w:jc w:val="center"/>
        <w:rPr>
          <w:rFonts w:ascii="Times New Roman" w:hAnsi="Times New Roman" w:cs="Times New Roman"/>
          <w:lang w:val="es"/>
        </w:rPr>
      </w:pPr>
      <w:r>
        <w:rPr>
          <w:rFonts w:cs="Times New Roman" w:ascii="Times New Roman" w:hAnsi="Times New Roman"/>
          <w:lang w:val="es"/>
        </w:rPr>
        <w:t>ANEXO ULTRAFREEZER LAB 103</w:t>
      </w:r>
      <w:r/>
    </w:p>
    <w:tbl>
      <w:tblPr>
        <w:tblStyle w:val="Tablaconcuadrcula"/>
        <w:tblW w:w="11178" w:type="dxa"/>
        <w:jc w:val="left"/>
        <w:tblInd w:w="0" w:type="dxa"/>
        <w:tblBorders/>
        <w:tblCellMar>
          <w:top w:w="0" w:type="dxa"/>
          <w:left w:w="108" w:type="dxa"/>
          <w:bottom w:w="0" w:type="dxa"/>
          <w:right w:w="108" w:type="dxa"/>
        </w:tblCellMar>
      </w:tblPr>
      <w:tblGrid>
        <w:gridCol w:w="1509"/>
        <w:gridCol w:w="1509"/>
        <w:gridCol w:w="1509"/>
        <w:gridCol w:w="1509"/>
        <w:gridCol w:w="1509"/>
        <w:gridCol w:w="3632"/>
      </w:tblGrid>
      <w:tr>
        <w:trPr/>
        <w:tc>
          <w:tcPr>
            <w:tcW w:w="1509" w:type="dxa"/>
            <w:tcBorders/>
            <w:shd w:fill="auto" w:val="clear"/>
            <w:tcMar>
              <w:left w:w="108" w:type="dxa"/>
            </w:tcMar>
            <w:vAlign w:val="center"/>
          </w:tcPr>
          <w:p>
            <w:pPr>
              <w:pStyle w:val="Normal"/>
              <w:spacing w:lineRule="auto" w:line="360" w:before="0" w:after="0"/>
              <w:jc w:val="center"/>
              <w:rPr>
                <w:sz w:val="18"/>
                <w:sz w:val="18"/>
                <w:szCs w:val="18"/>
                <w:rFonts w:ascii="Times New Roman" w:hAnsi="Times New Roman" w:cs="Times New Roman"/>
                <w:lang w:val="es"/>
              </w:rPr>
            </w:pPr>
            <w:r>
              <w:rPr>
                <w:rFonts w:cs="Times New Roman" w:ascii="Times New Roman" w:hAnsi="Times New Roman"/>
                <w:sz w:val="18"/>
                <w:szCs w:val="18"/>
                <w:lang w:val="es"/>
              </w:rPr>
              <w:t>Apellido responsable</w:t>
            </w:r>
            <w:r/>
          </w:p>
        </w:tc>
        <w:tc>
          <w:tcPr>
            <w:tcW w:w="1509" w:type="dxa"/>
            <w:tcBorders/>
            <w:shd w:fill="auto" w:val="clear"/>
            <w:tcMar>
              <w:left w:w="108" w:type="dxa"/>
            </w:tcMar>
            <w:vAlign w:val="center"/>
          </w:tcPr>
          <w:p>
            <w:pPr>
              <w:pStyle w:val="Normal"/>
              <w:spacing w:lineRule="auto" w:line="240" w:before="0" w:after="0"/>
              <w:jc w:val="center"/>
              <w:rPr>
                <w:sz w:val="18"/>
                <w:sz w:val="18"/>
                <w:szCs w:val="18"/>
                <w:rFonts w:ascii="Times New Roman" w:hAnsi="Times New Roman" w:cs="Times New Roman"/>
                <w:lang w:val="es"/>
              </w:rPr>
            </w:pPr>
            <w:r>
              <w:rPr>
                <w:rFonts w:cs="Times New Roman" w:ascii="Times New Roman" w:hAnsi="Times New Roman"/>
                <w:sz w:val="18"/>
                <w:szCs w:val="18"/>
                <w:lang w:val="es"/>
              </w:rPr>
              <w:t>Interno / mail/ celular</w:t>
            </w:r>
            <w:r/>
          </w:p>
        </w:tc>
        <w:tc>
          <w:tcPr>
            <w:tcW w:w="1509" w:type="dxa"/>
            <w:tcBorders/>
            <w:shd w:fill="auto" w:val="clear"/>
            <w:tcMar>
              <w:left w:w="108" w:type="dxa"/>
            </w:tcMar>
            <w:vAlign w:val="center"/>
          </w:tcPr>
          <w:p>
            <w:pPr>
              <w:pStyle w:val="Normal"/>
              <w:spacing w:lineRule="auto" w:line="240" w:before="0" w:after="0"/>
              <w:jc w:val="center"/>
              <w:rPr>
                <w:sz w:val="18"/>
                <w:sz w:val="18"/>
                <w:szCs w:val="18"/>
                <w:rFonts w:ascii="Times New Roman" w:hAnsi="Times New Roman" w:cs="Times New Roman"/>
                <w:lang w:val="es"/>
              </w:rPr>
            </w:pPr>
            <w:r>
              <w:rPr>
                <w:rFonts w:cs="Times New Roman" w:ascii="Times New Roman" w:hAnsi="Times New Roman"/>
                <w:sz w:val="18"/>
                <w:szCs w:val="18"/>
                <w:lang w:val="es"/>
              </w:rPr>
              <w:t>Tipo de muestras (biológico, molecular, etc)</w:t>
            </w:r>
            <w:r/>
          </w:p>
        </w:tc>
        <w:tc>
          <w:tcPr>
            <w:tcW w:w="1509" w:type="dxa"/>
            <w:tcBorders/>
            <w:shd w:fill="auto" w:val="clear"/>
            <w:tcMar>
              <w:left w:w="108" w:type="dxa"/>
            </w:tcMar>
            <w:vAlign w:val="center"/>
          </w:tcPr>
          <w:p>
            <w:pPr>
              <w:pStyle w:val="Normal"/>
              <w:spacing w:lineRule="auto" w:line="240" w:before="0" w:after="0"/>
              <w:jc w:val="center"/>
              <w:rPr>
                <w:sz w:val="18"/>
                <w:sz w:val="18"/>
                <w:szCs w:val="18"/>
                <w:rFonts w:ascii="Times New Roman" w:hAnsi="Times New Roman" w:cs="Times New Roman"/>
                <w:lang w:val="es"/>
              </w:rPr>
            </w:pPr>
            <w:r>
              <w:rPr>
                <w:rFonts w:cs="Times New Roman" w:ascii="Times New Roman" w:hAnsi="Times New Roman"/>
                <w:sz w:val="18"/>
                <w:szCs w:val="18"/>
                <w:lang w:val="es"/>
              </w:rPr>
              <w:t>Cantidad de espacio ocupado (1/2 cajón, 1 cajón, etc) y número de cajón</w:t>
            </w:r>
            <w:r/>
          </w:p>
        </w:tc>
        <w:tc>
          <w:tcPr>
            <w:tcW w:w="1509" w:type="dxa"/>
            <w:tcBorders/>
            <w:shd w:fill="auto" w:val="clear"/>
            <w:tcMar>
              <w:left w:w="108" w:type="dxa"/>
            </w:tcMar>
            <w:vAlign w:val="center"/>
          </w:tcPr>
          <w:p>
            <w:pPr>
              <w:pStyle w:val="Normal"/>
              <w:spacing w:lineRule="auto" w:line="240" w:before="0" w:after="0"/>
              <w:jc w:val="center"/>
              <w:rPr>
                <w:sz w:val="18"/>
                <w:sz w:val="18"/>
                <w:szCs w:val="18"/>
                <w:rFonts w:ascii="Times New Roman" w:hAnsi="Times New Roman" w:cs="Times New Roman"/>
                <w:lang w:val="es"/>
              </w:rPr>
            </w:pPr>
            <w:r>
              <w:rPr>
                <w:rFonts w:cs="Times New Roman" w:ascii="Times New Roman" w:hAnsi="Times New Roman"/>
                <w:sz w:val="18"/>
                <w:szCs w:val="18"/>
                <w:lang w:val="es"/>
              </w:rPr>
              <w:t>Tiempo estimado de almacenado</w:t>
            </w:r>
            <w:r/>
          </w:p>
        </w:tc>
        <w:tc>
          <w:tcPr>
            <w:tcW w:w="3632" w:type="dxa"/>
            <w:tcBorders/>
            <w:shd w:fill="auto" w:val="clear"/>
            <w:tcMar>
              <w:left w:w="108" w:type="dxa"/>
            </w:tcMar>
            <w:vAlign w:val="center"/>
          </w:tcPr>
          <w:p>
            <w:pPr>
              <w:pStyle w:val="Normal"/>
              <w:spacing w:lineRule="auto" w:line="240" w:before="0" w:after="0"/>
              <w:jc w:val="center"/>
              <w:rPr>
                <w:sz w:val="18"/>
                <w:sz w:val="18"/>
                <w:szCs w:val="18"/>
                <w:rFonts w:ascii="Times New Roman" w:hAnsi="Times New Roman" w:cs="Times New Roman"/>
                <w:lang w:val="es"/>
              </w:rPr>
            </w:pPr>
            <w:r>
              <w:rPr>
                <w:rFonts w:cs="Times New Roman" w:ascii="Times New Roman" w:hAnsi="Times New Roman"/>
                <w:sz w:val="18"/>
                <w:szCs w:val="18"/>
                <w:lang w:val="es"/>
              </w:rPr>
              <w:t>Justificación de necesidad de utilización de estas temperaturas*</w:t>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r>
        <w:trPr/>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1509"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c>
          <w:tcPr>
            <w:tcW w:w="3632" w:type="dxa"/>
            <w:tcBorders/>
            <w:shd w:fill="auto" w:val="clear"/>
            <w:tcMar>
              <w:left w:w="108" w:type="dxa"/>
            </w:tcMar>
          </w:tcPr>
          <w:p>
            <w:pPr>
              <w:pStyle w:val="Normal"/>
              <w:spacing w:lineRule="auto" w:line="240" w:before="0" w:after="0"/>
              <w:jc w:val="both"/>
              <w:rPr>
                <w:rFonts w:ascii="Times New Roman" w:hAnsi="Times New Roman" w:cs="Times New Roman"/>
                <w:lang w:val="es"/>
              </w:rPr>
            </w:pPr>
            <w:r>
              <w:rPr>
                <w:rFonts w:cs="Times New Roman" w:ascii="Times New Roman" w:hAnsi="Times New Roman"/>
                <w:lang w:val="es"/>
              </w:rPr>
            </w:r>
            <w:r/>
          </w:p>
        </w:tc>
      </w:tr>
    </w:tbl>
    <w:p>
      <w:pPr>
        <w:pStyle w:val="ListParagraph"/>
        <w:spacing w:lineRule="auto" w:line="360" w:before="0" w:after="200"/>
        <w:contextualSpacing/>
        <w:jc w:val="both"/>
      </w:pPr>
      <w:r>
        <w:rPr>
          <w:rFonts w:cs="Times New Roman" w:ascii="Times New Roman" w:hAnsi="Times New Roman"/>
          <w:lang w:val="es"/>
        </w:rPr>
        <w:t>* Esta información puede ser enviada por mail.</w:t>
      </w:r>
      <w:r/>
    </w:p>
    <w:sectPr>
      <w:type w:val="nextPage"/>
      <w:pgSz w:w="12240" w:h="15840"/>
      <w:pgMar w:left="720" w:right="720" w:header="0" w:top="720"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f24e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eastAsia="Calibri" w:cs="Times New Roman"/>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uiPriority w:val="34"/>
    <w:qFormat/>
    <w:rsid w:val="005f24e5"/>
    <w:pPr>
      <w:spacing w:before="0" w:after="200"/>
      <w:ind w:left="720" w:hanging="0"/>
      <w:contextualSpacing/>
    </w:pPr>
    <w:rPr/>
  </w:style>
  <w:style w:type="paragraph" w:styleId="Western" w:customStyle="1">
    <w:name w:val="western"/>
    <w:basedOn w:val="Normal"/>
    <w:rsid w:val="00245a76"/>
    <w:pPr>
      <w:spacing w:lineRule="auto" w:line="240" w:before="280" w:after="0"/>
    </w:pPr>
    <w:rPr>
      <w:rFonts w:ascii="Times New Roman" w:hAnsi="Times New Roman" w:eastAsia="Times New Roman" w:cs="Times New Roman"/>
      <w:b/>
      <w:bCs/>
      <w:color w:val="FF0000"/>
      <w:sz w:val="24"/>
      <w:szCs w:val="24"/>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5f24e5"/>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LibreOffice/4.3.3.2$Linux_X86_64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2015-10-10T20:49:00Z</dcterms:created>
  <dc:creator>Jose Crespo</dc:creator>
  <dc:language>en-US</dc:language>
  <dcterms:modified xsi:type="dcterms:W3CDTF">2018-12-10T10:13:59Z</dcterms:modified>
  <cp:revision>3</cp:revision>
</cp:coreProperties>
</file>